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5103"/>
        <w:gridCol w:w="709"/>
        <w:gridCol w:w="2693"/>
      </w:tblGrid>
      <w:tr w:rsidR="00C52384" w:rsidRPr="00BB6F43" w14:paraId="3A191B34" w14:textId="77777777" w:rsidTr="00A33FD8">
        <w:tc>
          <w:tcPr>
            <w:tcW w:w="1980" w:type="dxa"/>
          </w:tcPr>
          <w:p w14:paraId="4622A30D" w14:textId="61AE1611" w:rsidR="00C52384" w:rsidRPr="00BB6F43" w:rsidRDefault="00322427" w:rsidP="00C52384">
            <w:pPr>
              <w:rPr>
                <w:b/>
                <w:bCs/>
                <w:sz w:val="20"/>
                <w:szCs w:val="20"/>
              </w:rPr>
            </w:pPr>
            <w:r w:rsidRPr="00BB6F43">
              <w:rPr>
                <w:b/>
                <w:bCs/>
                <w:sz w:val="20"/>
                <w:szCs w:val="20"/>
              </w:rPr>
              <w:t>SRI Style</w:t>
            </w:r>
          </w:p>
        </w:tc>
        <w:tc>
          <w:tcPr>
            <w:tcW w:w="5103" w:type="dxa"/>
          </w:tcPr>
          <w:p w14:paraId="39D608A8" w14:textId="13C2F26E" w:rsidR="00C52384" w:rsidRPr="00BB6F43" w:rsidRDefault="00322427" w:rsidP="00C52384">
            <w:pPr>
              <w:rPr>
                <w:b/>
                <w:bCs/>
                <w:sz w:val="20"/>
                <w:szCs w:val="20"/>
              </w:rPr>
            </w:pPr>
            <w:r w:rsidRPr="00BB6F43">
              <w:rPr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709" w:type="dxa"/>
          </w:tcPr>
          <w:p w14:paraId="6316F430" w14:textId="225983C6" w:rsidR="00C52384" w:rsidRPr="00BB6F43" w:rsidRDefault="00322427" w:rsidP="00C52384">
            <w:pPr>
              <w:rPr>
                <w:sz w:val="20"/>
                <w:szCs w:val="20"/>
              </w:rPr>
            </w:pPr>
            <w:r w:rsidRPr="00BB6F43">
              <w:rPr>
                <w:sz w:val="20"/>
                <w:szCs w:val="20"/>
              </w:rPr>
              <w:t>Y / N</w:t>
            </w:r>
          </w:p>
        </w:tc>
        <w:tc>
          <w:tcPr>
            <w:tcW w:w="2693" w:type="dxa"/>
          </w:tcPr>
          <w:p w14:paraId="02A2C981" w14:textId="1CAC83B3" w:rsidR="00C52384" w:rsidRPr="00BB6F43" w:rsidRDefault="00322427" w:rsidP="00C52384">
            <w:pPr>
              <w:rPr>
                <w:sz w:val="20"/>
                <w:szCs w:val="20"/>
              </w:rPr>
            </w:pPr>
            <w:r w:rsidRPr="00BB6F43">
              <w:rPr>
                <w:sz w:val="20"/>
                <w:szCs w:val="20"/>
              </w:rPr>
              <w:t>Note to adviser / Question</w:t>
            </w:r>
          </w:p>
        </w:tc>
      </w:tr>
      <w:tr w:rsidR="00C52384" w:rsidRPr="00BB6F43" w14:paraId="692C2460" w14:textId="77777777" w:rsidTr="00A33FD8">
        <w:trPr>
          <w:trHeight w:val="1516"/>
        </w:trPr>
        <w:tc>
          <w:tcPr>
            <w:tcW w:w="1980" w:type="dxa"/>
          </w:tcPr>
          <w:p w14:paraId="70355C5A" w14:textId="4A89B61C" w:rsidR="00C52384" w:rsidRPr="00BB6F43" w:rsidRDefault="002E30AD" w:rsidP="00C52384">
            <w:pPr>
              <w:rPr>
                <w:sz w:val="20"/>
                <w:szCs w:val="20"/>
              </w:rPr>
            </w:pPr>
            <w:hyperlink r:id="rId7" w:history="1">
              <w:r w:rsidR="00C52384" w:rsidRPr="00C52384">
                <w:rPr>
                  <w:rStyle w:val="Hyperlink"/>
                  <w:b/>
                  <w:bCs/>
                  <w:sz w:val="20"/>
                  <w:szCs w:val="20"/>
                </w:rPr>
                <w:t>Ethical </w:t>
              </w:r>
            </w:hyperlink>
          </w:p>
        </w:tc>
        <w:tc>
          <w:tcPr>
            <w:tcW w:w="5103" w:type="dxa"/>
          </w:tcPr>
          <w:p w14:paraId="4A24DDF5" w14:textId="590F2E7B" w:rsidR="00C52384" w:rsidRPr="00BB6F43" w:rsidRDefault="00D12969" w:rsidP="00D12969">
            <w:pPr>
              <w:spacing w:after="160" w:line="259" w:lineRule="auto"/>
              <w:rPr>
                <w:sz w:val="20"/>
                <w:szCs w:val="20"/>
              </w:rPr>
            </w:pPr>
            <w:r w:rsidRPr="00BB6F43">
              <w:rPr>
                <w:sz w:val="20"/>
                <w:szCs w:val="20"/>
              </w:rPr>
              <w:t>F</w:t>
            </w:r>
            <w:r w:rsidRPr="00C52384">
              <w:rPr>
                <w:sz w:val="20"/>
                <w:szCs w:val="20"/>
              </w:rPr>
              <w:t>unds</w:t>
            </w:r>
            <w:r w:rsidRPr="00BB6F43">
              <w:rPr>
                <w:sz w:val="20"/>
                <w:szCs w:val="20"/>
              </w:rPr>
              <w:t xml:space="preserve"> that </w:t>
            </w:r>
            <w:r w:rsidRPr="00C52384">
              <w:rPr>
                <w:sz w:val="20"/>
                <w:szCs w:val="20"/>
              </w:rPr>
              <w:t>combine a range of</w:t>
            </w:r>
            <w:r w:rsidR="00E20E4E">
              <w:rPr>
                <w:sz w:val="20"/>
                <w:szCs w:val="20"/>
              </w:rPr>
              <w:t xml:space="preserve"> </w:t>
            </w:r>
            <w:r w:rsidRPr="00C52384">
              <w:rPr>
                <w:sz w:val="20"/>
                <w:szCs w:val="20"/>
              </w:rPr>
              <w:t xml:space="preserve">positive and </w:t>
            </w:r>
            <w:r w:rsidR="00A33FD8">
              <w:rPr>
                <w:sz w:val="20"/>
                <w:szCs w:val="20"/>
              </w:rPr>
              <w:t xml:space="preserve">/ or </w:t>
            </w:r>
            <w:r w:rsidRPr="00C52384">
              <w:rPr>
                <w:sz w:val="20"/>
                <w:szCs w:val="20"/>
              </w:rPr>
              <w:t xml:space="preserve">negative </w:t>
            </w:r>
            <w:r w:rsidR="00A33FD8">
              <w:rPr>
                <w:sz w:val="20"/>
                <w:szCs w:val="20"/>
              </w:rPr>
              <w:t xml:space="preserve">‘personal values related’ </w:t>
            </w:r>
            <w:r w:rsidRPr="00C52384">
              <w:rPr>
                <w:sz w:val="20"/>
                <w:szCs w:val="20"/>
              </w:rPr>
              <w:t>ethical</w:t>
            </w:r>
            <w:r w:rsidR="00A33FD8">
              <w:rPr>
                <w:sz w:val="20"/>
                <w:szCs w:val="20"/>
              </w:rPr>
              <w:t xml:space="preserve"> issues alongside</w:t>
            </w:r>
            <w:r w:rsidRPr="00BB6F43">
              <w:rPr>
                <w:sz w:val="20"/>
                <w:szCs w:val="20"/>
              </w:rPr>
              <w:t xml:space="preserve">, </w:t>
            </w:r>
            <w:proofErr w:type="gramStart"/>
            <w:r w:rsidRPr="00BB6F43">
              <w:rPr>
                <w:sz w:val="20"/>
                <w:szCs w:val="20"/>
              </w:rPr>
              <w:t>social</w:t>
            </w:r>
            <w:proofErr w:type="gramEnd"/>
            <w:r w:rsidRPr="00BB6F43">
              <w:rPr>
                <w:sz w:val="20"/>
                <w:szCs w:val="20"/>
              </w:rPr>
              <w:t xml:space="preserve"> and environmental</w:t>
            </w:r>
            <w:r w:rsidRPr="00C52384">
              <w:rPr>
                <w:sz w:val="20"/>
                <w:szCs w:val="20"/>
              </w:rPr>
              <w:t xml:space="preserve"> </w:t>
            </w:r>
            <w:r w:rsidR="00A33FD8">
              <w:rPr>
                <w:sz w:val="20"/>
                <w:szCs w:val="20"/>
              </w:rPr>
              <w:t>issues</w:t>
            </w:r>
            <w:r w:rsidRPr="00C52384">
              <w:rPr>
                <w:sz w:val="20"/>
                <w:szCs w:val="20"/>
              </w:rPr>
              <w:t xml:space="preserve"> as part of their investment strategies</w:t>
            </w:r>
            <w:r w:rsidRPr="00BB6F43">
              <w:rPr>
                <w:sz w:val="20"/>
                <w:szCs w:val="20"/>
              </w:rPr>
              <w:t xml:space="preserve">.  These funds </w:t>
            </w:r>
            <w:r w:rsidRPr="00C52384">
              <w:rPr>
                <w:sz w:val="20"/>
                <w:szCs w:val="20"/>
              </w:rPr>
              <w:t xml:space="preserve">may apply ‘best in sector’ strategies – which means they may invest </w:t>
            </w:r>
            <w:r w:rsidR="00E20E4E">
              <w:rPr>
                <w:sz w:val="20"/>
                <w:szCs w:val="20"/>
              </w:rPr>
              <w:t xml:space="preserve">across </w:t>
            </w:r>
            <w:r w:rsidRPr="00C52384">
              <w:rPr>
                <w:sz w:val="20"/>
                <w:szCs w:val="20"/>
              </w:rPr>
              <w:t>most sectors.</w:t>
            </w:r>
            <w:r w:rsidRPr="00BB6F43">
              <w:rPr>
                <w:sz w:val="20"/>
                <w:szCs w:val="20"/>
              </w:rPr>
              <w:t xml:space="preserve"> Many of these funds aim to help deliver positive impacts</w:t>
            </w:r>
            <w:r w:rsidR="00A33FD8">
              <w:rPr>
                <w:sz w:val="20"/>
                <w:szCs w:val="20"/>
              </w:rPr>
              <w:t xml:space="preserve"> and may encourage companies to </w:t>
            </w:r>
            <w:proofErr w:type="gramStart"/>
            <w:r w:rsidR="00A33FD8">
              <w:rPr>
                <w:sz w:val="20"/>
                <w:szCs w:val="20"/>
              </w:rPr>
              <w:t>improved</w:t>
            </w:r>
            <w:proofErr w:type="gramEnd"/>
            <w:r w:rsidR="00A33FD8">
              <w:rPr>
                <w:sz w:val="20"/>
                <w:szCs w:val="20"/>
              </w:rPr>
              <w:t xml:space="preserve"> their standards through stewardship activity</w:t>
            </w:r>
            <w:r w:rsidRPr="00BB6F43">
              <w:rPr>
                <w:sz w:val="20"/>
                <w:szCs w:val="20"/>
              </w:rPr>
              <w:t>.</w:t>
            </w:r>
            <w:r w:rsidR="00E20E4E">
              <w:rPr>
                <w:sz w:val="20"/>
                <w:szCs w:val="20"/>
              </w:rPr>
              <w:t xml:space="preserve"> (Strategies vary). </w:t>
            </w:r>
          </w:p>
        </w:tc>
        <w:tc>
          <w:tcPr>
            <w:tcW w:w="709" w:type="dxa"/>
          </w:tcPr>
          <w:p w14:paraId="0363E430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A35B34C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</w:tr>
      <w:tr w:rsidR="00C52384" w:rsidRPr="00BB6F43" w14:paraId="57800894" w14:textId="77777777" w:rsidTr="00A33FD8">
        <w:tc>
          <w:tcPr>
            <w:tcW w:w="1980" w:type="dxa"/>
          </w:tcPr>
          <w:p w14:paraId="55D0E55E" w14:textId="09F6E0A8" w:rsidR="00C52384" w:rsidRPr="00BB6F43" w:rsidRDefault="002E30AD" w:rsidP="00C52384">
            <w:pPr>
              <w:rPr>
                <w:sz w:val="20"/>
                <w:szCs w:val="20"/>
              </w:rPr>
            </w:pPr>
            <w:hyperlink r:id="rId8" w:tgtFrame="_blank" w:history="1">
              <w:r w:rsidR="00C52384" w:rsidRPr="00C52384">
                <w:rPr>
                  <w:rStyle w:val="Hyperlink"/>
                  <w:b/>
                  <w:bCs/>
                  <w:sz w:val="20"/>
                  <w:szCs w:val="20"/>
                </w:rPr>
                <w:t>Faith Based investments</w:t>
              </w:r>
              <w:r w:rsidR="00C52384" w:rsidRPr="00C52384">
                <w:rPr>
                  <w:rStyle w:val="Hyperlink"/>
                  <w:sz w:val="20"/>
                  <w:szCs w:val="20"/>
                </w:rPr>
                <w:t> </w:t>
              </w:r>
            </w:hyperlink>
          </w:p>
        </w:tc>
        <w:tc>
          <w:tcPr>
            <w:tcW w:w="5103" w:type="dxa"/>
          </w:tcPr>
          <w:p w14:paraId="49FC2CD3" w14:textId="6648B06A" w:rsidR="00C52384" w:rsidRPr="00BB6F43" w:rsidRDefault="00D12969" w:rsidP="00C52384">
            <w:pPr>
              <w:rPr>
                <w:sz w:val="20"/>
                <w:szCs w:val="20"/>
              </w:rPr>
            </w:pPr>
            <w:r w:rsidRPr="00BB6F43">
              <w:rPr>
                <w:sz w:val="20"/>
                <w:szCs w:val="20"/>
              </w:rPr>
              <w:t xml:space="preserve">Funds that </w:t>
            </w:r>
            <w:r w:rsidRPr="00C52384">
              <w:rPr>
                <w:sz w:val="20"/>
                <w:szCs w:val="20"/>
              </w:rPr>
              <w:t xml:space="preserve">invest in line with specific religious principles </w:t>
            </w:r>
            <w:proofErr w:type="gramStart"/>
            <w:r w:rsidRPr="00C52384">
              <w:rPr>
                <w:sz w:val="20"/>
                <w:szCs w:val="20"/>
              </w:rPr>
              <w:t>eg</w:t>
            </w:r>
            <w:proofErr w:type="gramEnd"/>
            <w:r w:rsidRPr="00C52384">
              <w:rPr>
                <w:sz w:val="20"/>
                <w:szCs w:val="20"/>
              </w:rPr>
              <w:t xml:space="preserve"> Shariah Law</w:t>
            </w:r>
            <w:r w:rsidR="00E20E4E">
              <w:rPr>
                <w:sz w:val="20"/>
                <w:szCs w:val="20"/>
              </w:rPr>
              <w:t>. (Strategies vary).</w:t>
            </w:r>
          </w:p>
        </w:tc>
        <w:tc>
          <w:tcPr>
            <w:tcW w:w="709" w:type="dxa"/>
          </w:tcPr>
          <w:p w14:paraId="6A508725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E5D973F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</w:tr>
      <w:tr w:rsidR="00C52384" w:rsidRPr="00BB6F43" w14:paraId="55BBCFBE" w14:textId="77777777" w:rsidTr="00A33FD8">
        <w:tc>
          <w:tcPr>
            <w:tcW w:w="1980" w:type="dxa"/>
          </w:tcPr>
          <w:p w14:paraId="65D5F48C" w14:textId="7296706A" w:rsidR="00C52384" w:rsidRPr="00BB6F43" w:rsidRDefault="002E30AD" w:rsidP="00C52384">
            <w:pPr>
              <w:rPr>
                <w:sz w:val="20"/>
                <w:szCs w:val="20"/>
              </w:rPr>
            </w:pPr>
            <w:hyperlink r:id="rId9" w:history="1">
              <w:r w:rsidR="00C52384" w:rsidRPr="00C52384">
                <w:rPr>
                  <w:rStyle w:val="Hyperlink"/>
                  <w:b/>
                  <w:bCs/>
                  <w:sz w:val="20"/>
                  <w:szCs w:val="20"/>
                </w:rPr>
                <w:t>Sustainability Themed</w:t>
              </w:r>
              <w:r w:rsidR="00C52384" w:rsidRPr="00C52384">
                <w:rPr>
                  <w:rStyle w:val="Hyperlink"/>
                  <w:sz w:val="20"/>
                  <w:szCs w:val="20"/>
                </w:rPr>
                <w:t> </w:t>
              </w:r>
              <w:r w:rsidR="00C52384" w:rsidRPr="00C52384">
                <w:rPr>
                  <w:rStyle w:val="Hyperlink"/>
                  <w:b/>
                  <w:bCs/>
                  <w:sz w:val="20"/>
                  <w:szCs w:val="20"/>
                </w:rPr>
                <w:t>funds </w:t>
              </w:r>
            </w:hyperlink>
          </w:p>
        </w:tc>
        <w:tc>
          <w:tcPr>
            <w:tcW w:w="5103" w:type="dxa"/>
          </w:tcPr>
          <w:p w14:paraId="7A42CA6B" w14:textId="77777777" w:rsidR="00A33FD8" w:rsidRDefault="00EF1FA0" w:rsidP="00C52384">
            <w:pPr>
              <w:rPr>
                <w:sz w:val="20"/>
                <w:szCs w:val="20"/>
              </w:rPr>
            </w:pPr>
            <w:r w:rsidRPr="00EF1FA0">
              <w:rPr>
                <w:sz w:val="20"/>
                <w:szCs w:val="20"/>
              </w:rPr>
              <w:t xml:space="preserve">Sustainability Themed funds focus on opportunities presented by the major social and environmental shifts that are taking place (and likely to accelerate) as we transition towards more sustainable lifestyles.  </w:t>
            </w:r>
          </w:p>
          <w:p w14:paraId="5C139672" w14:textId="0B5A001E" w:rsidR="00C52384" w:rsidRPr="00BB6F43" w:rsidRDefault="00EF1FA0" w:rsidP="00C52384">
            <w:pPr>
              <w:rPr>
                <w:sz w:val="20"/>
                <w:szCs w:val="20"/>
              </w:rPr>
            </w:pPr>
            <w:r w:rsidRPr="00EF1FA0">
              <w:rPr>
                <w:sz w:val="20"/>
                <w:szCs w:val="20"/>
              </w:rPr>
              <w:t>Funds in this group are typically positively oriented</w:t>
            </w:r>
            <w:r w:rsidR="00A33FD8">
              <w:rPr>
                <w:sz w:val="20"/>
                <w:szCs w:val="20"/>
              </w:rPr>
              <w:t xml:space="preserve">, </w:t>
            </w:r>
            <w:r w:rsidRPr="00EF1FA0">
              <w:rPr>
                <w:sz w:val="20"/>
                <w:szCs w:val="20"/>
              </w:rPr>
              <w:t>forward looking</w:t>
            </w:r>
            <w:r w:rsidR="00A33FD8">
              <w:rPr>
                <w:sz w:val="20"/>
                <w:szCs w:val="20"/>
              </w:rPr>
              <w:t xml:space="preserve"> and aiming to deliver positive </w:t>
            </w:r>
            <w:proofErr w:type="gramStart"/>
            <w:r w:rsidR="00A33FD8">
              <w:rPr>
                <w:sz w:val="20"/>
                <w:szCs w:val="20"/>
              </w:rPr>
              <w:t>real world</w:t>
            </w:r>
            <w:proofErr w:type="gramEnd"/>
            <w:r w:rsidR="00A33FD8">
              <w:rPr>
                <w:sz w:val="20"/>
                <w:szCs w:val="20"/>
              </w:rPr>
              <w:t xml:space="preserve"> outcomes by investing in line with specific themes</w:t>
            </w:r>
            <w:r w:rsidRPr="00EF1FA0">
              <w:rPr>
                <w:sz w:val="20"/>
                <w:szCs w:val="20"/>
              </w:rPr>
              <w:t>.  Strategies may be complimented by additional</w:t>
            </w:r>
            <w:r w:rsidR="00A33FD8">
              <w:rPr>
                <w:sz w:val="20"/>
                <w:szCs w:val="20"/>
              </w:rPr>
              <w:t xml:space="preserve">, often extensive, ethical </w:t>
            </w:r>
            <w:r w:rsidRPr="00EF1FA0">
              <w:rPr>
                <w:sz w:val="20"/>
                <w:szCs w:val="20"/>
              </w:rPr>
              <w:t xml:space="preserve">exclusion criteria </w:t>
            </w:r>
            <w:r w:rsidR="00A33FD8">
              <w:rPr>
                <w:sz w:val="20"/>
                <w:szCs w:val="20"/>
              </w:rPr>
              <w:t xml:space="preserve">and stewardship activity.  Strategies vary. </w:t>
            </w:r>
          </w:p>
        </w:tc>
        <w:tc>
          <w:tcPr>
            <w:tcW w:w="709" w:type="dxa"/>
          </w:tcPr>
          <w:p w14:paraId="767F695B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0F9AF03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</w:tr>
      <w:tr w:rsidR="00EF1FA0" w:rsidRPr="00BB6F43" w14:paraId="5B77CB91" w14:textId="77777777" w:rsidTr="00A33FD8">
        <w:tc>
          <w:tcPr>
            <w:tcW w:w="1980" w:type="dxa"/>
          </w:tcPr>
          <w:p w14:paraId="318650E8" w14:textId="6CC09E99" w:rsidR="00EF1FA0" w:rsidRPr="00EF1FA0" w:rsidRDefault="002E30AD" w:rsidP="00C52384">
            <w:pPr>
              <w:rPr>
                <w:b/>
                <w:bCs/>
                <w:sz w:val="20"/>
                <w:szCs w:val="20"/>
                <w:u w:val="single"/>
              </w:rPr>
            </w:pPr>
            <w:hyperlink r:id="rId10" w:history="1">
              <w:r w:rsidR="00EF1FA0" w:rsidRPr="00EF1FA0">
                <w:rPr>
                  <w:rStyle w:val="Hyperlink"/>
                  <w:b/>
                  <w:bCs/>
                  <w:sz w:val="20"/>
                  <w:szCs w:val="20"/>
                </w:rPr>
                <w:t>Sustainability Tilt funds (new)</w:t>
              </w:r>
            </w:hyperlink>
          </w:p>
        </w:tc>
        <w:tc>
          <w:tcPr>
            <w:tcW w:w="5103" w:type="dxa"/>
          </w:tcPr>
          <w:p w14:paraId="537C81D4" w14:textId="77C21DCE" w:rsidR="00EF1FA0" w:rsidRPr="00EF1FA0" w:rsidRDefault="00EF1FA0" w:rsidP="00EF1FA0">
            <w:pPr>
              <w:rPr>
                <w:sz w:val="20"/>
                <w:szCs w:val="20"/>
              </w:rPr>
            </w:pPr>
            <w:r w:rsidRPr="00EF1FA0">
              <w:rPr>
                <w:sz w:val="20"/>
                <w:szCs w:val="20"/>
              </w:rPr>
              <w:t>Sustainability Tilted</w:t>
            </w:r>
            <w:r w:rsidR="00A33FD8">
              <w:rPr>
                <w:sz w:val="20"/>
                <w:szCs w:val="20"/>
              </w:rPr>
              <w:t xml:space="preserve"> </w:t>
            </w:r>
            <w:r w:rsidRPr="00EF1FA0">
              <w:rPr>
                <w:sz w:val="20"/>
                <w:szCs w:val="20"/>
              </w:rPr>
              <w:t>funds consider sustainability related issues when defining (or deciding) where to invest</w:t>
            </w:r>
            <w:r w:rsidR="00A33FD8">
              <w:rPr>
                <w:sz w:val="20"/>
                <w:szCs w:val="20"/>
              </w:rPr>
              <w:t xml:space="preserve"> although this is not normally the key driver of where the fund can invest</w:t>
            </w:r>
            <w:r w:rsidRPr="00EF1FA0">
              <w:rPr>
                <w:sz w:val="20"/>
                <w:szCs w:val="20"/>
              </w:rPr>
              <w:t>. The</w:t>
            </w:r>
            <w:r w:rsidR="00A33FD8">
              <w:rPr>
                <w:sz w:val="20"/>
                <w:szCs w:val="20"/>
              </w:rPr>
              <w:t xml:space="preserve"> fund</w:t>
            </w:r>
            <w:r w:rsidRPr="00EF1FA0">
              <w:rPr>
                <w:sz w:val="20"/>
                <w:szCs w:val="20"/>
              </w:rPr>
              <w:t xml:space="preserve"> may also have areas of exclusions and may work to encourage more sustainable business practices and standards through Stewardship / Responsible Ownership activity.</w:t>
            </w:r>
          </w:p>
          <w:p w14:paraId="08DA9CE4" w14:textId="04F3E48A" w:rsidR="00EF1FA0" w:rsidRDefault="00EF1FA0" w:rsidP="00EF1FA0">
            <w:pPr>
              <w:rPr>
                <w:sz w:val="20"/>
                <w:szCs w:val="20"/>
              </w:rPr>
            </w:pPr>
            <w:r w:rsidRPr="00EF1FA0">
              <w:rPr>
                <w:sz w:val="20"/>
                <w:szCs w:val="20"/>
              </w:rPr>
              <w:t xml:space="preserve">Funds with a ‘Sustainability Tilt’ do not necessarily </w:t>
            </w:r>
            <w:r w:rsidR="00A33FD8">
              <w:rPr>
                <w:sz w:val="20"/>
                <w:szCs w:val="20"/>
              </w:rPr>
              <w:t>exclude many sectors and may invest in controversial larger companies. Strategies vary.</w:t>
            </w:r>
          </w:p>
        </w:tc>
        <w:tc>
          <w:tcPr>
            <w:tcW w:w="709" w:type="dxa"/>
          </w:tcPr>
          <w:p w14:paraId="45C18AAE" w14:textId="77777777" w:rsidR="00EF1FA0" w:rsidRPr="00BB6F43" w:rsidRDefault="00EF1FA0" w:rsidP="00C523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2035D" w14:textId="77777777" w:rsidR="00EF1FA0" w:rsidRPr="00BB6F43" w:rsidRDefault="00EF1FA0" w:rsidP="00C52384">
            <w:pPr>
              <w:rPr>
                <w:sz w:val="20"/>
                <w:szCs w:val="20"/>
              </w:rPr>
            </w:pPr>
          </w:p>
        </w:tc>
      </w:tr>
      <w:tr w:rsidR="00C52384" w:rsidRPr="00BB6F43" w14:paraId="4038988D" w14:textId="77777777" w:rsidTr="00A33FD8">
        <w:tc>
          <w:tcPr>
            <w:tcW w:w="1980" w:type="dxa"/>
          </w:tcPr>
          <w:p w14:paraId="211D9B12" w14:textId="0B2A7607" w:rsidR="00C52384" w:rsidRPr="00BB6F43" w:rsidRDefault="002E30AD" w:rsidP="00C52384">
            <w:pPr>
              <w:rPr>
                <w:sz w:val="20"/>
                <w:szCs w:val="20"/>
              </w:rPr>
            </w:pPr>
            <w:hyperlink r:id="rId11" w:history="1">
              <w:r w:rsidR="00C52384" w:rsidRPr="00C52384">
                <w:rPr>
                  <w:rStyle w:val="Hyperlink"/>
                  <w:b/>
                  <w:bCs/>
                  <w:sz w:val="20"/>
                  <w:szCs w:val="20"/>
                </w:rPr>
                <w:t>Environmental themed</w:t>
              </w:r>
              <w:r w:rsidR="00EF1FA0">
                <w:rPr>
                  <w:rStyle w:val="Hyperlink"/>
                  <w:sz w:val="20"/>
                  <w:szCs w:val="20"/>
                </w:rPr>
                <w:t xml:space="preserve"> f</w:t>
              </w:r>
              <w:r w:rsidR="00C52384" w:rsidRPr="00C52384">
                <w:rPr>
                  <w:rStyle w:val="Hyperlink"/>
                  <w:b/>
                  <w:bCs/>
                  <w:sz w:val="20"/>
                  <w:szCs w:val="20"/>
                </w:rPr>
                <w:t>unds</w:t>
              </w:r>
              <w:r w:rsidR="00C52384" w:rsidRPr="00C52384">
                <w:rPr>
                  <w:rStyle w:val="Hyperlink"/>
                  <w:sz w:val="20"/>
                  <w:szCs w:val="20"/>
                </w:rPr>
                <w:t> </w:t>
              </w:r>
            </w:hyperlink>
          </w:p>
        </w:tc>
        <w:tc>
          <w:tcPr>
            <w:tcW w:w="5103" w:type="dxa"/>
          </w:tcPr>
          <w:p w14:paraId="07D2BC5D" w14:textId="5ADA8E40" w:rsidR="00C52384" w:rsidRPr="00BB6F43" w:rsidRDefault="00D12969" w:rsidP="00C52384">
            <w:pPr>
              <w:rPr>
                <w:sz w:val="20"/>
                <w:szCs w:val="20"/>
              </w:rPr>
            </w:pPr>
            <w:r w:rsidRPr="00BB6F43">
              <w:rPr>
                <w:sz w:val="20"/>
                <w:szCs w:val="20"/>
              </w:rPr>
              <w:t xml:space="preserve">Funds that </w:t>
            </w:r>
            <w:r w:rsidRPr="00C52384">
              <w:rPr>
                <w:sz w:val="20"/>
                <w:szCs w:val="20"/>
              </w:rPr>
              <w:t>significantly integrate environmental issues into their investment strategies, sometimes alongside ethical avoidance criteria.  </w:t>
            </w:r>
            <w:r w:rsidRPr="00BB6F43">
              <w:rPr>
                <w:sz w:val="20"/>
                <w:szCs w:val="20"/>
              </w:rPr>
              <w:t xml:space="preserve"> </w:t>
            </w:r>
            <w:r w:rsidR="00E20E4E">
              <w:rPr>
                <w:sz w:val="20"/>
                <w:szCs w:val="20"/>
              </w:rPr>
              <w:t xml:space="preserve">Funds may </w:t>
            </w:r>
            <w:r w:rsidRPr="00BB6F43">
              <w:rPr>
                <w:sz w:val="20"/>
                <w:szCs w:val="20"/>
              </w:rPr>
              <w:t>focus on ‘solutions companies’</w:t>
            </w:r>
            <w:r w:rsidR="00E20E4E">
              <w:rPr>
                <w:sz w:val="20"/>
                <w:szCs w:val="20"/>
              </w:rPr>
              <w:t>, c</w:t>
            </w:r>
            <w:r w:rsidRPr="00BB6F43">
              <w:rPr>
                <w:sz w:val="20"/>
                <w:szCs w:val="20"/>
              </w:rPr>
              <w:t>ompanies that transitioning to more sustainable practices</w:t>
            </w:r>
            <w:r w:rsidR="001C5CF6">
              <w:rPr>
                <w:sz w:val="20"/>
                <w:szCs w:val="20"/>
              </w:rPr>
              <w:t xml:space="preserve"> – or a </w:t>
            </w:r>
            <w:r w:rsidRPr="00BB6F43">
              <w:rPr>
                <w:sz w:val="20"/>
                <w:szCs w:val="20"/>
              </w:rPr>
              <w:t>combination</w:t>
            </w:r>
            <w:r w:rsidR="00E20E4E">
              <w:rPr>
                <w:sz w:val="20"/>
                <w:szCs w:val="20"/>
              </w:rPr>
              <w:t xml:space="preserve"> of both</w:t>
            </w:r>
            <w:r w:rsidRPr="00BB6F43">
              <w:rPr>
                <w:sz w:val="20"/>
                <w:szCs w:val="20"/>
              </w:rPr>
              <w:t>. Many aim to help deliver positive impacts.</w:t>
            </w:r>
            <w:r w:rsidR="00E20E4E">
              <w:rPr>
                <w:sz w:val="20"/>
                <w:szCs w:val="20"/>
              </w:rPr>
              <w:t xml:space="preserve"> Strategies vary.</w:t>
            </w:r>
          </w:p>
        </w:tc>
        <w:tc>
          <w:tcPr>
            <w:tcW w:w="709" w:type="dxa"/>
          </w:tcPr>
          <w:p w14:paraId="3A90DF74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92A4C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</w:tr>
      <w:tr w:rsidR="00C52384" w:rsidRPr="00BB6F43" w14:paraId="603DF446" w14:textId="77777777" w:rsidTr="00A33FD8">
        <w:tc>
          <w:tcPr>
            <w:tcW w:w="1980" w:type="dxa"/>
          </w:tcPr>
          <w:p w14:paraId="56412520" w14:textId="4D97B926" w:rsidR="00C52384" w:rsidRPr="00BB6F43" w:rsidRDefault="002E30AD" w:rsidP="00C52384">
            <w:pPr>
              <w:rPr>
                <w:sz w:val="20"/>
                <w:szCs w:val="20"/>
              </w:rPr>
            </w:pPr>
            <w:hyperlink r:id="rId12" w:tgtFrame="_blank" w:history="1">
              <w:r w:rsidR="00C52384" w:rsidRPr="00C52384">
                <w:rPr>
                  <w:rStyle w:val="Hyperlink"/>
                  <w:b/>
                  <w:bCs/>
                  <w:sz w:val="20"/>
                  <w:szCs w:val="20"/>
                </w:rPr>
                <w:t>Social Themed</w:t>
              </w:r>
              <w:r w:rsidR="00C52384" w:rsidRPr="00C52384">
                <w:rPr>
                  <w:rStyle w:val="Hyperlink"/>
                  <w:sz w:val="20"/>
                  <w:szCs w:val="20"/>
                </w:rPr>
                <w:t> </w:t>
              </w:r>
              <w:r w:rsidR="00C52384" w:rsidRPr="00C52384">
                <w:rPr>
                  <w:rStyle w:val="Hyperlink"/>
                  <w:b/>
                  <w:bCs/>
                  <w:sz w:val="20"/>
                  <w:szCs w:val="20"/>
                </w:rPr>
                <w:t>funds</w:t>
              </w:r>
              <w:r w:rsidR="00C52384" w:rsidRPr="00C52384">
                <w:rPr>
                  <w:rStyle w:val="Hyperlink"/>
                  <w:sz w:val="20"/>
                  <w:szCs w:val="20"/>
                </w:rPr>
                <w:t> </w:t>
              </w:r>
            </w:hyperlink>
          </w:p>
        </w:tc>
        <w:tc>
          <w:tcPr>
            <w:tcW w:w="5103" w:type="dxa"/>
          </w:tcPr>
          <w:p w14:paraId="1C3A168B" w14:textId="6C07B105" w:rsidR="00C52384" w:rsidRPr="00BB6F43" w:rsidRDefault="00D12969" w:rsidP="00C52384">
            <w:pPr>
              <w:rPr>
                <w:sz w:val="20"/>
                <w:szCs w:val="20"/>
              </w:rPr>
            </w:pPr>
            <w:r w:rsidRPr="00BB6F43">
              <w:rPr>
                <w:sz w:val="20"/>
                <w:szCs w:val="20"/>
              </w:rPr>
              <w:t xml:space="preserve">Funds that </w:t>
            </w:r>
            <w:r w:rsidRPr="00C52384">
              <w:rPr>
                <w:sz w:val="20"/>
                <w:szCs w:val="20"/>
              </w:rPr>
              <w:t xml:space="preserve">focus on ‘people issues’ </w:t>
            </w:r>
            <w:r w:rsidR="00E20E4E">
              <w:rPr>
                <w:sz w:val="20"/>
                <w:szCs w:val="20"/>
              </w:rPr>
              <w:t xml:space="preserve">for example housing, </w:t>
            </w:r>
            <w:r w:rsidRPr="00C52384">
              <w:rPr>
                <w:sz w:val="20"/>
                <w:szCs w:val="20"/>
              </w:rPr>
              <w:t>employment</w:t>
            </w:r>
            <w:r w:rsidR="00E20E4E">
              <w:rPr>
                <w:sz w:val="20"/>
                <w:szCs w:val="20"/>
              </w:rPr>
              <w:t xml:space="preserve"> standards</w:t>
            </w:r>
            <w:r w:rsidRPr="00BB6F43">
              <w:rPr>
                <w:sz w:val="20"/>
                <w:szCs w:val="20"/>
              </w:rPr>
              <w:t xml:space="preserve">, </w:t>
            </w:r>
            <w:r w:rsidR="00BB6F43">
              <w:rPr>
                <w:sz w:val="20"/>
                <w:szCs w:val="20"/>
              </w:rPr>
              <w:t xml:space="preserve">basic </w:t>
            </w:r>
            <w:r w:rsidR="00BB6F43" w:rsidRPr="00C52384">
              <w:rPr>
                <w:sz w:val="20"/>
                <w:szCs w:val="20"/>
              </w:rPr>
              <w:t>necessities</w:t>
            </w:r>
            <w:r w:rsidRPr="00C52384">
              <w:rPr>
                <w:sz w:val="20"/>
                <w:szCs w:val="20"/>
              </w:rPr>
              <w:t xml:space="preserve"> of life</w:t>
            </w:r>
            <w:r w:rsidRPr="00BB6F43">
              <w:rPr>
                <w:sz w:val="20"/>
                <w:szCs w:val="20"/>
              </w:rPr>
              <w:t xml:space="preserve"> and diversity</w:t>
            </w:r>
            <w:r w:rsidRPr="00C52384">
              <w:rPr>
                <w:sz w:val="20"/>
                <w:szCs w:val="20"/>
              </w:rPr>
              <w:t>.</w:t>
            </w:r>
            <w:r w:rsidRPr="00BB6F43">
              <w:rPr>
                <w:sz w:val="20"/>
                <w:szCs w:val="20"/>
              </w:rPr>
              <w:t xml:space="preserve"> Many of these funds aim to help deliver positive impacts.</w:t>
            </w:r>
            <w:r w:rsidR="00E20E4E">
              <w:rPr>
                <w:sz w:val="20"/>
                <w:szCs w:val="20"/>
              </w:rPr>
              <w:t xml:space="preserve"> Strategies vary.</w:t>
            </w:r>
          </w:p>
        </w:tc>
        <w:tc>
          <w:tcPr>
            <w:tcW w:w="709" w:type="dxa"/>
          </w:tcPr>
          <w:p w14:paraId="7B7F84C5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6157532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</w:tr>
      <w:tr w:rsidR="00C52384" w:rsidRPr="00BB6F43" w14:paraId="130FB8E1" w14:textId="77777777" w:rsidTr="00A33FD8">
        <w:tc>
          <w:tcPr>
            <w:tcW w:w="1980" w:type="dxa"/>
          </w:tcPr>
          <w:p w14:paraId="43D11DF6" w14:textId="3593BB52" w:rsidR="00C52384" w:rsidRPr="00BB6F43" w:rsidRDefault="002E30AD" w:rsidP="00C52384">
            <w:pPr>
              <w:rPr>
                <w:sz w:val="20"/>
                <w:szCs w:val="20"/>
              </w:rPr>
            </w:pPr>
            <w:hyperlink r:id="rId13" w:history="1">
              <w:r w:rsidR="00C52384" w:rsidRPr="00C52384">
                <w:rPr>
                  <w:rStyle w:val="Hyperlink"/>
                  <w:b/>
                  <w:bCs/>
                  <w:sz w:val="20"/>
                  <w:szCs w:val="20"/>
                </w:rPr>
                <w:t>ESG Plus </w:t>
              </w:r>
            </w:hyperlink>
          </w:p>
        </w:tc>
        <w:tc>
          <w:tcPr>
            <w:tcW w:w="5103" w:type="dxa"/>
          </w:tcPr>
          <w:p w14:paraId="48773BDC" w14:textId="260975DA" w:rsidR="00C52384" w:rsidRPr="00BB6F43" w:rsidRDefault="00D12969" w:rsidP="00C52384">
            <w:pPr>
              <w:rPr>
                <w:sz w:val="20"/>
                <w:szCs w:val="20"/>
              </w:rPr>
            </w:pPr>
            <w:r w:rsidRPr="00BB6F43">
              <w:rPr>
                <w:sz w:val="20"/>
                <w:szCs w:val="20"/>
              </w:rPr>
              <w:t xml:space="preserve">Funds that carefully </w:t>
            </w:r>
            <w:r w:rsidR="00322427" w:rsidRPr="00BB6F43">
              <w:rPr>
                <w:sz w:val="20"/>
                <w:szCs w:val="20"/>
              </w:rPr>
              <w:t>manage</w:t>
            </w:r>
            <w:r w:rsidRPr="00BB6F43">
              <w:rPr>
                <w:sz w:val="20"/>
                <w:szCs w:val="20"/>
              </w:rPr>
              <w:t xml:space="preserve"> environmental, social and governance</w:t>
            </w:r>
            <w:r w:rsidR="00322427" w:rsidRPr="00BB6F43">
              <w:rPr>
                <w:sz w:val="20"/>
                <w:szCs w:val="20"/>
              </w:rPr>
              <w:t xml:space="preserve"> related</w:t>
            </w:r>
            <w:r w:rsidRPr="00BB6F43">
              <w:rPr>
                <w:sz w:val="20"/>
                <w:szCs w:val="20"/>
              </w:rPr>
              <w:t xml:space="preserve"> risk</w:t>
            </w:r>
            <w:r w:rsidR="00322427" w:rsidRPr="00BB6F43">
              <w:rPr>
                <w:sz w:val="20"/>
                <w:szCs w:val="20"/>
              </w:rPr>
              <w:t>s as part of their stock selection strategies</w:t>
            </w:r>
            <w:r w:rsidR="00A33FD8">
              <w:rPr>
                <w:sz w:val="20"/>
                <w:szCs w:val="20"/>
              </w:rPr>
              <w:t xml:space="preserve">.  These funds aim to reduce ESG related risk but may invest widely across most sectors. They will also have exclusion and/or stewardship activity </w:t>
            </w:r>
            <w:proofErr w:type="gramStart"/>
            <w:r w:rsidR="00A33FD8">
              <w:rPr>
                <w:sz w:val="20"/>
                <w:szCs w:val="20"/>
              </w:rPr>
              <w:t>in order to</w:t>
            </w:r>
            <w:proofErr w:type="gramEnd"/>
            <w:r w:rsidR="00A33FD8">
              <w:rPr>
                <w:sz w:val="20"/>
                <w:szCs w:val="20"/>
              </w:rPr>
              <w:t xml:space="preserve"> demonstrate they are </w:t>
            </w:r>
            <w:r w:rsidR="00322427" w:rsidRPr="00BB6F43">
              <w:rPr>
                <w:sz w:val="20"/>
                <w:szCs w:val="20"/>
              </w:rPr>
              <w:t xml:space="preserve">intended for clients who are concerned about </w:t>
            </w:r>
            <w:r w:rsidR="001C5CF6">
              <w:rPr>
                <w:sz w:val="20"/>
                <w:szCs w:val="20"/>
              </w:rPr>
              <w:t>issues of that kind.</w:t>
            </w:r>
            <w:r w:rsidRPr="00BB6F43">
              <w:rPr>
                <w:sz w:val="20"/>
                <w:szCs w:val="20"/>
              </w:rPr>
              <w:t xml:space="preserve"> </w:t>
            </w:r>
            <w:r w:rsidR="00A33FD8">
              <w:rPr>
                <w:sz w:val="20"/>
                <w:szCs w:val="20"/>
              </w:rPr>
              <w:t>S</w:t>
            </w:r>
            <w:r w:rsidR="00E20E4E">
              <w:rPr>
                <w:sz w:val="20"/>
                <w:szCs w:val="20"/>
              </w:rPr>
              <w:t>trategies vary.</w:t>
            </w:r>
          </w:p>
        </w:tc>
        <w:tc>
          <w:tcPr>
            <w:tcW w:w="709" w:type="dxa"/>
          </w:tcPr>
          <w:p w14:paraId="21404A6E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A7419D4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</w:tr>
      <w:tr w:rsidR="00C52384" w:rsidRPr="00BB6F43" w14:paraId="425289BF" w14:textId="77777777" w:rsidTr="00A33FD8">
        <w:tc>
          <w:tcPr>
            <w:tcW w:w="1980" w:type="dxa"/>
          </w:tcPr>
          <w:p w14:paraId="2CF583BC" w14:textId="5D91E08E" w:rsidR="00C52384" w:rsidRPr="00BB6F43" w:rsidRDefault="002E30AD" w:rsidP="00C52384">
            <w:pPr>
              <w:rPr>
                <w:sz w:val="20"/>
                <w:szCs w:val="20"/>
              </w:rPr>
            </w:pPr>
            <w:hyperlink r:id="rId14" w:history="1">
              <w:r w:rsidR="00C52384" w:rsidRPr="00C52384">
                <w:rPr>
                  <w:rStyle w:val="Hyperlink"/>
                  <w:b/>
                  <w:bCs/>
                  <w:sz w:val="20"/>
                  <w:szCs w:val="20"/>
                </w:rPr>
                <w:t>Responsible Ownership </w:t>
              </w:r>
            </w:hyperlink>
          </w:p>
        </w:tc>
        <w:tc>
          <w:tcPr>
            <w:tcW w:w="5103" w:type="dxa"/>
          </w:tcPr>
          <w:p w14:paraId="61CB9EC8" w14:textId="35F2BD1B" w:rsidR="00C52384" w:rsidRPr="00BB6F43" w:rsidRDefault="00A33FD8" w:rsidP="00C5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classification is used for (entire) </w:t>
            </w:r>
            <w:r w:rsidR="00D12969" w:rsidRPr="00BB6F43">
              <w:rPr>
                <w:sz w:val="20"/>
                <w:szCs w:val="20"/>
              </w:rPr>
              <w:t>fund management companies</w:t>
            </w:r>
            <w:r w:rsidR="00322427" w:rsidRPr="00BB6F43">
              <w:rPr>
                <w:sz w:val="20"/>
                <w:szCs w:val="20"/>
              </w:rPr>
              <w:t xml:space="preserve"> that put significant emphasis on </w:t>
            </w:r>
            <w:r>
              <w:rPr>
                <w:sz w:val="20"/>
                <w:szCs w:val="20"/>
              </w:rPr>
              <w:t>being</w:t>
            </w:r>
            <w:r w:rsidR="00322427" w:rsidRPr="00BB6F43">
              <w:rPr>
                <w:sz w:val="20"/>
                <w:szCs w:val="20"/>
              </w:rPr>
              <w:t xml:space="preserve"> ‘responsible owners’ of the companies they </w:t>
            </w:r>
            <w:r w:rsidR="001C5CF6">
              <w:rPr>
                <w:sz w:val="20"/>
                <w:szCs w:val="20"/>
              </w:rPr>
              <w:t xml:space="preserve">part </w:t>
            </w:r>
            <w:proofErr w:type="gramStart"/>
            <w:r w:rsidR="001C5CF6">
              <w:rPr>
                <w:sz w:val="20"/>
                <w:szCs w:val="20"/>
              </w:rPr>
              <w:t xml:space="preserve">own </w:t>
            </w:r>
            <w:r w:rsidR="00322427" w:rsidRPr="00BB6F43">
              <w:rPr>
                <w:sz w:val="20"/>
                <w:szCs w:val="20"/>
              </w:rPr>
              <w:t xml:space="preserve"> –</w:t>
            </w:r>
            <w:proofErr w:type="gramEnd"/>
            <w:r w:rsidR="00322427" w:rsidRPr="00BB6F43">
              <w:rPr>
                <w:sz w:val="20"/>
                <w:szCs w:val="20"/>
              </w:rPr>
              <w:t xml:space="preserve"> meaning that they encourage higher environmental, social and governance strategies that will benefit the company, investors and society.</w:t>
            </w:r>
            <w:r w:rsidR="00E20E4E">
              <w:rPr>
                <w:sz w:val="20"/>
                <w:szCs w:val="20"/>
              </w:rPr>
              <w:t xml:space="preserve"> </w:t>
            </w:r>
            <w:r w:rsidR="001C5CF6">
              <w:rPr>
                <w:sz w:val="20"/>
                <w:szCs w:val="20"/>
              </w:rPr>
              <w:t>These strategies - also known as ‘stewardship</w:t>
            </w:r>
            <w:proofErr w:type="gramStart"/>
            <w:r w:rsidR="001C5CF6">
              <w:rPr>
                <w:sz w:val="20"/>
                <w:szCs w:val="20"/>
              </w:rPr>
              <w:t xml:space="preserve">’ </w:t>
            </w:r>
            <w:r w:rsidR="00FF2602">
              <w:rPr>
                <w:sz w:val="20"/>
                <w:szCs w:val="20"/>
              </w:rPr>
              <w:t>.</w:t>
            </w:r>
            <w:proofErr w:type="gramEnd"/>
            <w:r w:rsidR="00FF2602">
              <w:rPr>
                <w:sz w:val="20"/>
                <w:szCs w:val="20"/>
              </w:rPr>
              <w:t xml:space="preserve">  Strategies of this kind that relate to individual funds are listed in the ‘responsible ownership’ filter. </w:t>
            </w:r>
            <w:r w:rsidR="00E20E4E">
              <w:rPr>
                <w:sz w:val="20"/>
                <w:szCs w:val="20"/>
              </w:rPr>
              <w:t>Strategies vary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5B97568A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7DFDDF3" w14:textId="77777777" w:rsidR="00C52384" w:rsidRPr="00BB6F43" w:rsidRDefault="00C52384" w:rsidP="00C52384">
            <w:pPr>
              <w:rPr>
                <w:sz w:val="20"/>
                <w:szCs w:val="20"/>
              </w:rPr>
            </w:pPr>
          </w:p>
        </w:tc>
      </w:tr>
    </w:tbl>
    <w:p w14:paraId="423C8C6B" w14:textId="77777777" w:rsidR="0024504A" w:rsidRPr="00BB6F43" w:rsidRDefault="0024504A">
      <w:pPr>
        <w:rPr>
          <w:sz w:val="20"/>
          <w:szCs w:val="20"/>
        </w:rPr>
      </w:pPr>
    </w:p>
    <w:sectPr w:rsidR="0024504A" w:rsidRPr="00BB6F43" w:rsidSect="00547F0D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E5DF0" w14:textId="77777777" w:rsidR="002E30AD" w:rsidRDefault="002E30AD" w:rsidP="00BB6F43">
      <w:pPr>
        <w:spacing w:after="0" w:line="240" w:lineRule="auto"/>
      </w:pPr>
      <w:r>
        <w:separator/>
      </w:r>
    </w:p>
  </w:endnote>
  <w:endnote w:type="continuationSeparator" w:id="0">
    <w:p w14:paraId="2DE812A8" w14:textId="77777777" w:rsidR="002E30AD" w:rsidRDefault="002E30AD" w:rsidP="00BB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FFFF" w14:textId="77777777" w:rsidR="002E30AD" w:rsidRDefault="002E30AD" w:rsidP="00BB6F43">
      <w:pPr>
        <w:spacing w:after="0" w:line="240" w:lineRule="auto"/>
      </w:pPr>
      <w:r>
        <w:separator/>
      </w:r>
    </w:p>
  </w:footnote>
  <w:footnote w:type="continuationSeparator" w:id="0">
    <w:p w14:paraId="26E03EFF" w14:textId="77777777" w:rsidR="002E30AD" w:rsidRDefault="002E30AD" w:rsidP="00BB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72D61" w14:textId="082F9FCA" w:rsidR="00BB6F43" w:rsidRDefault="00BB6F43" w:rsidP="00345D66">
    <w:pPr>
      <w:pStyle w:val="Header"/>
      <w:jc w:val="right"/>
    </w:pPr>
    <w:r>
      <w:rPr>
        <w:noProof/>
      </w:rPr>
      <w:drawing>
        <wp:inline distT="0" distB="0" distL="0" distR="0" wp14:anchorId="2064F468" wp14:editId="6F14B34E">
          <wp:extent cx="738188" cy="590550"/>
          <wp:effectExtent l="0" t="0" r="5080" b="0"/>
          <wp:docPr id="2" name="Picture 2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alshifter with SRI Services 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47" cy="594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1E65"/>
    <w:multiLevelType w:val="multilevel"/>
    <w:tmpl w:val="77BC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A362E"/>
    <w:multiLevelType w:val="multilevel"/>
    <w:tmpl w:val="9404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F12C9"/>
    <w:multiLevelType w:val="multilevel"/>
    <w:tmpl w:val="98DA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4"/>
    <w:rsid w:val="00046317"/>
    <w:rsid w:val="001C5CF6"/>
    <w:rsid w:val="0024504A"/>
    <w:rsid w:val="002E30AD"/>
    <w:rsid w:val="00322427"/>
    <w:rsid w:val="00345D66"/>
    <w:rsid w:val="00547F0D"/>
    <w:rsid w:val="00717F34"/>
    <w:rsid w:val="00A33FD8"/>
    <w:rsid w:val="00B006AD"/>
    <w:rsid w:val="00BB6F43"/>
    <w:rsid w:val="00C52384"/>
    <w:rsid w:val="00C52627"/>
    <w:rsid w:val="00D12969"/>
    <w:rsid w:val="00E20E4E"/>
    <w:rsid w:val="00EF1FA0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A40F7"/>
  <w15:chartTrackingRefBased/>
  <w15:docId w15:val="{AF586FB5-30D3-4643-AA5D-EE690C3A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3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43"/>
  </w:style>
  <w:style w:type="paragraph" w:styleId="Footer">
    <w:name w:val="footer"/>
    <w:basedOn w:val="Normal"/>
    <w:link w:val="FooterChar"/>
    <w:uiPriority w:val="99"/>
    <w:unhideWhenUsed/>
    <w:rsid w:val="00BB6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43"/>
  </w:style>
  <w:style w:type="character" w:styleId="FollowedHyperlink">
    <w:name w:val="FollowedHyperlink"/>
    <w:basedOn w:val="DefaultParagraphFont"/>
    <w:uiPriority w:val="99"/>
    <w:semiHidden/>
    <w:unhideWhenUsed/>
    <w:rsid w:val="00EF1F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ecomarket.co.uk/help/sri-styles-explained/faith-based" TargetMode="External"/><Relationship Id="rId13" Type="http://schemas.openxmlformats.org/officeDocument/2006/relationships/hyperlink" Target="https://www.fundecomarket.co.uk/help/sri-styles-directory/esg-p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ndecomarket.co.uk/help/sri-styles-explained/balanced-ethical" TargetMode="External"/><Relationship Id="rId12" Type="http://schemas.openxmlformats.org/officeDocument/2006/relationships/hyperlink" Target="https://www.fundecomarket.co.uk/help/sri-styles-explained/social-theme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decomarket.co.uk/help/sri-styles-explained/environment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undecomarket.co.uk/help/sri-styles-directory/sustainability-tilted-fu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ecomarket.co.uk/help/sri-styles-explained/sustainability" TargetMode="External"/><Relationship Id="rId14" Type="http://schemas.openxmlformats.org/officeDocument/2006/relationships/hyperlink" Target="https://www.fundecomarket.co.uk/help/sri-styles-directory/responsible-ownersh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Dreblow</dc:creator>
  <cp:keywords/>
  <dc:description/>
  <cp:lastModifiedBy>julia dreblow</cp:lastModifiedBy>
  <cp:revision>2</cp:revision>
  <dcterms:created xsi:type="dcterms:W3CDTF">2021-03-26T15:02:00Z</dcterms:created>
  <dcterms:modified xsi:type="dcterms:W3CDTF">2021-03-26T15:02:00Z</dcterms:modified>
</cp:coreProperties>
</file>